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その７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W w:w="10192" w:type="dxa"/>
        <w:jc w:val="lef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49"/>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both"/>
              <w:rPr>
                <w:rFonts w:hint="default"/>
                <w:spacing w:val="-14"/>
                <w:sz w:val="24"/>
              </w:rPr>
            </w:pPr>
            <w:r>
              <w:rPr>
                <w:rFonts w:hint="eastAsia"/>
              </w:rPr>
              <w:t>行為の場所</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地域名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リゾート近隣重点地域</w:t>
            </w:r>
          </w:p>
        </w:tc>
      </w:tr>
      <w:tr>
        <w:trPr>
          <w:trHeight w:val="670" w:hRule="atLeast"/>
        </w:trPr>
        <w:tc>
          <w:tcPr>
            <w:tcW w:w="23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rPr>
              <w:t>行為の種類</w:t>
            </w:r>
          </w:p>
        </w:tc>
        <w:tc>
          <w:tcPr>
            <w:tcW w:w="78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spacing w:val="-14"/>
                <w:sz w:val="24"/>
              </w:rPr>
              <w:t>　</w:t>
            </w:r>
            <w:r>
              <w:rPr>
                <w:rFonts w:hint="eastAsia"/>
              </w:rPr>
              <w:t>□</w:t>
            </w:r>
            <w:r>
              <w:rPr>
                <w:rFonts w:hint="eastAsia"/>
              </w:rPr>
              <w:t xml:space="preserve"> </w:t>
            </w:r>
            <w:r>
              <w:rPr>
                <w:rFonts w:hint="eastAsia"/>
              </w:rPr>
              <w:t>開発行為　□</w:t>
            </w:r>
            <w:r>
              <w:rPr>
                <w:rFonts w:hint="eastAsia"/>
              </w:rPr>
              <w:t xml:space="preserve"> </w:t>
            </w:r>
            <w:r>
              <w:rPr>
                <w:rFonts w:hint="eastAsia"/>
              </w:rPr>
              <w:t>特定開発行為　□</w:t>
            </w:r>
            <w:r>
              <w:rPr>
                <w:rFonts w:hint="eastAsia"/>
              </w:rPr>
              <w:t xml:space="preserve"> </w:t>
            </w:r>
            <w:r>
              <w:rPr>
                <w:rFonts w:hint="eastAsia"/>
              </w:rPr>
              <w:t>伐採　□</w:t>
            </w:r>
            <w:r>
              <w:rPr>
                <w:rFonts w:hint="eastAsia"/>
              </w:rPr>
              <w:t xml:space="preserve"> </w:t>
            </w:r>
            <w:r>
              <w:rPr>
                <w:rFonts w:hint="eastAsia"/>
              </w:rPr>
              <w:t>土石・資材・その他堆積物</w:t>
            </w:r>
          </w:p>
        </w:tc>
      </w:tr>
    </w:tbl>
    <w:p>
      <w:pPr>
        <w:pStyle w:val="0"/>
        <w:rPr>
          <w:rFonts w:hint="default"/>
        </w:rPr>
      </w:pPr>
    </w:p>
    <w:p>
      <w:pPr>
        <w:pStyle w:val="0"/>
        <w:rPr>
          <w:rFonts w:hint="default"/>
        </w:rPr>
      </w:pPr>
      <w:r>
        <w:rPr>
          <w:rFonts w:hint="eastAsia"/>
          <w:spacing w:val="-14"/>
        </w:rPr>
        <w:t>【土地の形質の変更等】</w:t>
      </w:r>
    </w:p>
    <w:tbl>
      <w:tblPr>
        <w:tblStyle w:val="11"/>
        <w:tblpPr w:leftFromText="0" w:rightFromText="0" w:topFromText="0" w:bottomFromText="0" w:vertAnchor="text" w:horzAnchor="margin" w:tblpX="115" w:tblpY="53"/>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78"/>
        <w:gridCol w:w="33"/>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32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sz w:val="20"/>
              </w:rPr>
            </w:pPr>
            <w:r>
              <w:rPr>
                <w:rFonts w:hint="eastAsia"/>
                <w:b w:val="0"/>
                <w:sz w:val="20"/>
              </w:rPr>
              <w:t>開発行為・特定開発行為</w:t>
            </w: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b w:val="0"/>
                <w:sz w:val="18"/>
              </w:rPr>
            </w:pPr>
            <w:r>
              <w:rPr>
                <w:rFonts w:hint="eastAsia"/>
                <w:b w:val="0"/>
                <w:sz w:val="18"/>
              </w:rPr>
              <w:t>【規模】</w:t>
            </w:r>
          </w:p>
        </w:tc>
        <w:tc>
          <w:tcPr>
            <w:tcW w:w="2310"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934"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sz w:val="20"/>
              </w:rPr>
            </w:pPr>
            <w:r>
              <w:rPr>
                <w:rFonts w:hint="eastAsia"/>
                <w:sz w:val="20"/>
              </w:rPr>
              <w:t>□</w:t>
            </w:r>
          </w:p>
        </w:tc>
        <w:tc>
          <w:tcPr>
            <w:tcW w:w="2210"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color w:val="000000" w:themeColor="text1"/>
                <w:sz w:val="18"/>
              </w:rPr>
              <w:t>造成の規模は必要最低限とし、既存地形や周辺の土地の高さと大きく異なる規模の造成は行わない。</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sz w:val="20"/>
              </w:rPr>
            </w:pPr>
            <w:r>
              <w:rPr>
                <w:rFonts w:hint="eastAsia"/>
                <w:b w:val="0"/>
                <w:sz w:val="18"/>
              </w:rPr>
              <w:t>【形状】</w:t>
            </w:r>
          </w:p>
        </w:tc>
        <w:tc>
          <w:tcPr>
            <w:tcW w:w="2310"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3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nil"/>
              <w:right w:val="nil"/>
              <w:tl2br w:val="none" w:color="auto" w:sz="0" w:space="0"/>
              <w:tr2bl w:val="none" w:color="auto" w:sz="0" w:space="0"/>
            </w:tcBorders>
            <w:vAlign w:val="top"/>
          </w:tcPr>
          <w:p>
            <w:pPr>
              <w:pStyle w:val="0"/>
              <w:jc w:val="both"/>
              <w:rPr>
                <w:rFonts w:hint="eastAsia"/>
                <w:sz w:val="18"/>
              </w:rPr>
            </w:pPr>
            <w:r>
              <w:rPr>
                <w:rFonts w:hint="eastAsia"/>
                <w:sz w:val="21"/>
              </w:rPr>
              <w:t>□</w:t>
            </w:r>
          </w:p>
        </w:tc>
        <w:tc>
          <w:tcPr>
            <w:tcW w:w="2210" w:type="pct"/>
            <w:tcBorders>
              <w:top w:val="nil"/>
              <w:left w:val="nil"/>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color w:val="000000" w:themeColor="text1"/>
                <w:sz w:val="18"/>
              </w:rPr>
              <w:t>周囲に圧迫感を与える長大な一体型の法面・擁壁は避ける。緩やかな緑化法面とする、擁壁を分割し表面を緑化する等、圧迫感を抑える。</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default"/>
                <w:sz w:val="20"/>
              </w:rPr>
            </w:pP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z w:val="18"/>
              </w:rPr>
            </w:pPr>
            <w:r>
              <w:rPr>
                <w:rFonts w:hint="eastAsia"/>
                <w:sz w:val="18"/>
              </w:rPr>
              <w:t>【緑化修景】</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default"/>
                <w:spacing w:val="-14"/>
              </w:rPr>
            </w:pPr>
          </w:p>
        </w:tc>
      </w:tr>
      <w:tr>
        <w:trPr>
          <w:trHeight w:val="752"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000000" w:themeColor="text1"/>
                <w:sz w:val="18"/>
              </w:rPr>
              <w:t>周囲の敷地の状況を踏まえ、前面道路に対し、植栽・花壇による落ち着きと潤いの創出を図る。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956"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color w:val="000000" w:themeColor="text1"/>
                <w:sz w:val="18"/>
              </w:rPr>
              <w:t>樹容や樹齢に優れる樹木がある場合は、伐採を避ける又は移植するなど、可能な限り保存に努める。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rPr>
            </w:pPr>
            <w:r>
              <w:rPr>
                <w:rFonts w:hint="eastAsia"/>
                <w:sz w:val="18"/>
              </w:rPr>
              <w:t>【豪雪への対応】</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26"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造成地内道路の幅や線形計画は、積雪期の通行や道路除雪を踏まえたものとする。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439"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6"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造成地内の分譲区割を計画する場合は、建築物が建った後の落雪距離や堆雪スペース確保を踏まえ、余裕ある面積を確保する。</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【緑地の確保】</w:t>
            </w:r>
          </w:p>
        </w:tc>
        <w:tc>
          <w:tcPr>
            <w:tcW w:w="2310"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26"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緑地は公共性をもつ地域の共用地であり、夏は緑による潤いの場、冬は共用の堆雪場としての役割も果たす為、造成地の５％以上を確保する。</w:t>
            </w:r>
            <w:r>
              <w:rPr>
                <w:rFonts w:hint="eastAsia"/>
                <w:sz w:val="18"/>
              </w:rPr>
              <w:t>*1</w:t>
            </w:r>
            <w:bookmarkStart w:id="0" w:name="_GoBack"/>
            <w:bookmarkEnd w:id="0"/>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93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6"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造成地内道路計画と併せ、各区割からのアクセス性を考慮した配置とする。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jc w:val="center"/>
        <w:rPr>
          <w:rFonts w:hint="default"/>
        </w:rPr>
      </w:pPr>
      <w:r>
        <w:rPr>
          <w:rFonts w:hint="eastAsia"/>
        </w:rPr>
        <w:t>（裏面）</w:t>
      </w:r>
    </w:p>
    <w:tbl>
      <w:tblPr>
        <w:tblStyle w:val="11"/>
        <w:tblpPr w:leftFromText="0" w:rightFromText="0" w:topFromText="0" w:bottomFromText="0" w:vertAnchor="text" w:horzAnchor="margin" w:tblpX="65" w:tblpY="125"/>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88"/>
        <w:gridCol w:w="23"/>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32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eastAsia"/>
                <w:sz w:val="20"/>
              </w:rPr>
            </w:pPr>
            <w:r>
              <w:rPr>
                <w:rFonts w:hint="eastAsia"/>
                <w:b w:val="0"/>
                <w:sz w:val="20"/>
              </w:rPr>
              <w:t>開発行為・特定開発行為</w:t>
            </w:r>
          </w:p>
        </w:tc>
        <w:tc>
          <w:tcPr>
            <w:tcW w:w="2363" w:type="pct"/>
            <w:gridSpan w:val="3"/>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【無電柱化】</w:t>
            </w:r>
          </w:p>
        </w:tc>
        <w:tc>
          <w:tcPr>
            <w:tcW w:w="2310"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81"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2" w:type="pct"/>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1"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眺望道路に面した開発行為における電線類は地中埋設とする。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【水辺の保全】</w:t>
            </w:r>
          </w:p>
        </w:tc>
        <w:tc>
          <w:tcPr>
            <w:tcW w:w="2310"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60"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153" w:type="pct"/>
            <w:gridSpan w:val="2"/>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生物の良好な生息空間を形成する水辺の樹木や天然の河床は可能な限り保全し、防災・安全上必要な伐採に留める。</w:t>
            </w:r>
          </w:p>
        </w:tc>
        <w:tc>
          <w:tcPr>
            <w:tcW w:w="2310" w:type="pct"/>
            <w:vMerge w:val="continue"/>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09"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護岸や地下化が必要な場合は、自生種や自然環境を配慮した工法を用いる。</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278" w:hRule="atLeast"/>
        </w:trPr>
        <w:tc>
          <w:tcPr>
            <w:tcW w:w="327"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伐採</w:t>
            </w:r>
          </w:p>
        </w:tc>
        <w:tc>
          <w:tcPr>
            <w:tcW w:w="153" w:type="pct"/>
            <w:gridSpan w:val="2"/>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造成地内の既存樹木は可能な限り保存し、修景に活かす。</w:t>
            </w:r>
          </w:p>
        </w:tc>
        <w:tc>
          <w:tcPr>
            <w:tcW w:w="2310"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391"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視点場や周辺の眺望道路から広く眺望できる場所の樹木は、可能な限り残す。</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2053" w:hRule="atLeast"/>
        </w:trPr>
        <w:tc>
          <w:tcPr>
            <w:tcW w:w="32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extDirection w:val="tbRlV"/>
            <w:vAlign w:val="center"/>
          </w:tcPr>
          <w:p>
            <w:pPr>
              <w:pStyle w:val="0"/>
              <w:ind w:firstLine="405" w:firstLineChars="200"/>
              <w:jc w:val="left"/>
              <w:rPr>
                <w:rFonts w:hint="eastAsia"/>
                <w:sz w:val="20"/>
              </w:rPr>
            </w:pPr>
            <w:r>
              <w:rPr>
                <w:rFonts w:hint="eastAsia"/>
                <w:sz w:val="20"/>
              </w:rPr>
              <w:t>土石・資材</w:t>
            </w:r>
          </w:p>
          <w:p>
            <w:pPr>
              <w:pStyle w:val="0"/>
              <w:jc w:val="center"/>
              <w:rPr>
                <w:rFonts w:hint="eastAsia"/>
              </w:rPr>
            </w:pPr>
            <w:r>
              <w:rPr>
                <w:rFonts w:hint="eastAsia"/>
                <w:sz w:val="20"/>
              </w:rPr>
              <w:t>その他堆積物</w:t>
            </w:r>
          </w:p>
        </w:tc>
        <w:tc>
          <w:tcPr>
            <w:tcW w:w="153"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視点場や周辺の眺望道路から広く眺望出来る場所での土石、資材、その他物品の堆積は避け、植栽等により修景を行う。</w:t>
            </w:r>
          </w:p>
        </w:tc>
        <w:tc>
          <w:tcPr>
            <w:tcW w:w="2310"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　　</w:t>
      </w:r>
      <w:r>
        <w:rPr>
          <w:rFonts w:hint="eastAsia"/>
          <w:sz w:val="18"/>
        </w:rPr>
        <w:t>　　</w:t>
      </w:r>
      <w:r>
        <w:rPr>
          <w:rFonts w:hint="eastAsia"/>
          <w:sz w:val="18"/>
        </w:rPr>
        <w:t>*1</w:t>
      </w:r>
      <w:r>
        <w:rPr>
          <w:rFonts w:hint="eastAsia"/>
          <w:sz w:val="18"/>
        </w:rPr>
        <w:t>　令和６年１月１日から適用</w:t>
      </w:r>
    </w:p>
    <w:p>
      <w:pPr>
        <w:pStyle w:val="0"/>
        <w:rPr>
          <w:rFonts w:hint="default"/>
        </w:rPr>
      </w:pPr>
    </w:p>
    <w:p>
      <w:pPr>
        <w:pStyle w:val="0"/>
        <w:rPr>
          <w:rFonts w:hint="default"/>
        </w:rPr>
      </w:pPr>
    </w:p>
    <w:p>
      <w:pPr>
        <w:pStyle w:val="0"/>
        <w:snapToGrid w:val="0"/>
        <w:spacing w:line="280" w:lineRule="exact"/>
        <w:ind w:firstLine="203" w:firstLineChars="100"/>
        <w:rPr>
          <w:rFonts w:hint="default"/>
          <w:sz w:val="20"/>
        </w:rPr>
      </w:pPr>
      <w:r>
        <w:rPr>
          <w:rFonts w:hint="eastAsia"/>
          <w:sz w:val="20"/>
        </w:rPr>
        <w:t>注１</w:t>
      </w:r>
      <w:r>
        <w:rPr>
          <w:rFonts w:hint="default"/>
          <w:sz w:val="20"/>
        </w:rPr>
        <w:t xml:space="preserve">  </w:t>
      </w:r>
      <w:r>
        <w:rPr>
          <w:rFonts w:hint="eastAsia"/>
          <w:sz w:val="20"/>
        </w:rPr>
        <w:t>配慮事項は、当該事項について配慮した場合に、□内にレ印を付すこと。</w:t>
      </w:r>
    </w:p>
    <w:p>
      <w:pPr>
        <w:pStyle w:val="0"/>
        <w:ind w:left="0" w:leftChars="0" w:firstLine="405" w:firstLineChars="200"/>
        <w:rPr>
          <w:rFonts w:hint="default"/>
          <w:sz w:val="20"/>
        </w:rPr>
      </w:pPr>
      <w:r>
        <w:rPr>
          <w:rFonts w:hint="eastAsia"/>
          <w:sz w:val="20"/>
        </w:rPr>
        <w:t>２　対応状況の説明は、景観形成基準に具体的にどのように対応したかを記載すること。</w:t>
      </w:r>
    </w:p>
    <w:p>
      <w:pPr>
        <w:pStyle w:val="0"/>
        <w:rPr>
          <w:rFonts w:hint="default"/>
        </w:rPr>
      </w:pP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701</TotalTime>
  <Pages>2</Pages>
  <Words>2</Words>
  <Characters>936</Characters>
  <Application>JUST Note</Application>
  <Lines>410</Lines>
  <Paragraphs>60</Paragraphs>
  <CharactersWithSpaces>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2022-12-02T02:50:19Z</cp:lastPrinted>
  <dcterms:created xsi:type="dcterms:W3CDTF">2020-04-30T02:08:00Z</dcterms:created>
  <dcterms:modified xsi:type="dcterms:W3CDTF">2022-12-21T05:26:41Z</dcterms:modified>
  <cp:revision>27</cp:revision>
</cp:coreProperties>
</file>