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rPr>
          <w:rFonts w:hint="default"/>
        </w:rPr>
      </w:pPr>
      <w:r>
        <w:rPr>
          <w:rFonts w:hint="eastAsia"/>
        </w:rPr>
        <w:t>別記様式第４号（第５条第２号関係）</w:t>
      </w:r>
    </w:p>
    <w:p>
      <w:pPr>
        <w:pStyle w:val="0"/>
        <w:snapToGrid w:val="0"/>
        <w:spacing w:line="280" w:lineRule="exact"/>
        <w:ind w:firstLine="213" w:firstLineChars="100"/>
        <w:rPr>
          <w:rFonts w:hint="default"/>
        </w:rPr>
      </w:pPr>
      <w:r>
        <w:rPr>
          <w:rFonts w:hint="eastAsia"/>
        </w:rPr>
        <w:t>その３　　　　</w:t>
      </w:r>
    </w:p>
    <w:p>
      <w:pPr>
        <w:pStyle w:val="0"/>
        <w:snapToGrid w:val="0"/>
        <w:spacing w:before="156" w:beforeLines="50" w:beforeAutospacing="0" w:after="156" w:afterLines="50" w:afterAutospacing="0" w:line="280" w:lineRule="exact"/>
        <w:jc w:val="center"/>
        <w:rPr>
          <w:rFonts w:hint="default"/>
          <w:sz w:val="21"/>
        </w:rPr>
      </w:pPr>
      <w:r>
        <w:rPr>
          <w:rFonts w:hint="eastAsia"/>
          <w:sz w:val="21"/>
        </w:rPr>
        <w:t>景観形成基準への対応説明書</w:t>
      </w:r>
    </w:p>
    <w:tbl>
      <w:tblPr>
        <w:tblStyle w:val="11"/>
        <w:tblW w:w="102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43"/>
        <w:gridCol w:w="7881"/>
      </w:tblGrid>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届出（通知）者氏名</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　</w:t>
            </w:r>
          </w:p>
        </w:tc>
      </w:tr>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atLeast"/>
              <w:jc w:val="left"/>
              <w:rPr>
                <w:rFonts w:hint="default"/>
                <w:spacing w:val="-14"/>
                <w:sz w:val="24"/>
              </w:rPr>
            </w:pPr>
            <w:r>
              <w:rPr>
                <w:rFonts w:hint="eastAsia"/>
              </w:rPr>
              <w:t>行為の場所</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sz w:val="24"/>
              </w:rPr>
            </w:pPr>
          </w:p>
        </w:tc>
      </w:tr>
      <w:tr>
        <w:trPr>
          <w:trHeight w:val="561" w:hRule="atLeast"/>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地　域　名</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3" w:firstLineChars="100"/>
              <w:jc w:val="both"/>
              <w:rPr>
                <w:rFonts w:hint="eastAsia"/>
              </w:rPr>
            </w:pPr>
            <w:r>
              <w:rPr>
                <w:rFonts w:hint="eastAsia"/>
              </w:rPr>
              <w:t>□</w:t>
            </w:r>
            <w:r>
              <w:rPr>
                <w:rFonts w:hint="eastAsia"/>
              </w:rPr>
              <w:t xml:space="preserve"> </w:t>
            </w:r>
            <w:r>
              <w:rPr>
                <w:rFonts w:hint="eastAsia"/>
              </w:rPr>
              <w:t>駅前周辺重点地域</w:t>
            </w:r>
          </w:p>
        </w:tc>
      </w:tr>
      <w:tr>
        <w:trPr>
          <w:trHeight w:val="551" w:hRule="atLeast"/>
        </w:trPr>
        <w:tc>
          <w:tcPr>
            <w:tcW w:w="234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行為の種類</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spacing w:line="280" w:lineRule="atLeast"/>
              <w:ind w:left="0" w:leftChars="0" w:firstLine="213" w:firstLineChars="100"/>
              <w:jc w:val="both"/>
              <w:rPr>
                <w:rFonts w:hint="eastAsia"/>
              </w:rPr>
            </w:pPr>
            <w:r>
              <w:rPr>
                <w:rFonts w:hint="eastAsia"/>
              </w:rPr>
              <w:t>□</w:t>
            </w:r>
            <w:r>
              <w:rPr>
                <w:rFonts w:hint="default"/>
              </w:rPr>
              <w:t xml:space="preserve"> </w:t>
            </w:r>
            <w:r>
              <w:rPr>
                <w:rFonts w:hint="eastAsia"/>
              </w:rPr>
              <w:t>建築物　□</w:t>
            </w:r>
            <w:r>
              <w:rPr>
                <w:rFonts w:hint="default"/>
              </w:rPr>
              <w:t xml:space="preserve"> </w:t>
            </w:r>
            <w:r>
              <w:rPr>
                <w:rFonts w:hint="eastAsia"/>
              </w:rPr>
              <w:t>工作物</w:t>
            </w:r>
          </w:p>
        </w:tc>
      </w:tr>
      <w:tr>
        <w:trPr>
          <w:trHeight w:val="670" w:hRule="atLeast"/>
        </w:trPr>
        <w:tc>
          <w:tcPr>
            <w:tcW w:w="23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ind w:firstLine="213" w:firstLineChars="100"/>
              <w:rPr>
                <w:rFonts w:hint="default"/>
              </w:rPr>
            </w:pPr>
            <w:r>
              <w:rPr>
                <w:rFonts w:hint="eastAsia"/>
              </w:rPr>
              <w:t>□</w:t>
            </w:r>
            <w:r>
              <w:rPr>
                <w:rFonts w:hint="eastAsia"/>
              </w:rPr>
              <w:t xml:space="preserve"> </w:t>
            </w:r>
            <w:r>
              <w:rPr>
                <w:rFonts w:hint="eastAsia"/>
              </w:rPr>
              <w:t>新築又は新設　□</w:t>
            </w:r>
            <w:r>
              <w:rPr>
                <w:rFonts w:hint="default"/>
              </w:rPr>
              <w:t xml:space="preserve"> </w:t>
            </w:r>
            <w:r>
              <w:rPr>
                <w:rFonts w:hint="eastAsia"/>
              </w:rPr>
              <w:t>移転</w:t>
            </w:r>
            <w:r>
              <w:rPr>
                <w:rFonts w:hint="default"/>
              </w:rPr>
              <w:t xml:space="preserve"> </w:t>
            </w:r>
            <w:r>
              <w:rPr>
                <w:rFonts w:hint="eastAsia"/>
              </w:rPr>
              <w:t>　□</w:t>
            </w:r>
            <w:r>
              <w:rPr>
                <w:rFonts w:hint="default"/>
              </w:rPr>
              <w:t xml:space="preserve"> </w:t>
            </w:r>
            <w:r>
              <w:rPr>
                <w:rFonts w:hint="eastAsia"/>
              </w:rPr>
              <w:t>増築</w:t>
            </w:r>
            <w:r>
              <w:rPr>
                <w:rFonts w:hint="default"/>
              </w:rPr>
              <w:t xml:space="preserve"> </w:t>
            </w:r>
            <w:r>
              <w:rPr>
                <w:rFonts w:hint="eastAsia"/>
              </w:rPr>
              <w:t>　□</w:t>
            </w:r>
            <w:r>
              <w:rPr>
                <w:rFonts w:hint="default"/>
              </w:rPr>
              <w:t xml:space="preserve"> </w:t>
            </w:r>
            <w:r>
              <w:rPr>
                <w:rFonts w:hint="eastAsia"/>
              </w:rPr>
              <w:t>改築</w:t>
            </w:r>
          </w:p>
          <w:p>
            <w:pPr>
              <w:pStyle w:val="0"/>
              <w:snapToGrid w:val="0"/>
              <w:ind w:firstLine="213" w:firstLineChars="100"/>
              <w:rPr>
                <w:rFonts w:hint="default"/>
                <w:spacing w:val="-14"/>
                <w:sz w:val="24"/>
              </w:rPr>
            </w:pPr>
            <w:r>
              <w:rPr>
                <w:rFonts w:hint="eastAsia"/>
              </w:rPr>
              <w:t>□</w:t>
            </w:r>
            <w:r>
              <w:rPr>
                <w:rFonts w:hint="default"/>
              </w:rPr>
              <w:t xml:space="preserve"> </w:t>
            </w:r>
            <w:r>
              <w:rPr>
                <w:rFonts w:hint="eastAsia"/>
              </w:rPr>
              <w:t>外観の変更（□</w:t>
            </w:r>
            <w:r>
              <w:rPr>
                <w:rFonts w:hint="eastAsia"/>
              </w:rPr>
              <w:t xml:space="preserve"> </w:t>
            </w:r>
            <w:r>
              <w:rPr>
                <w:rFonts w:hint="eastAsia"/>
              </w:rPr>
              <w:t>修繕　□</w:t>
            </w:r>
            <w:r>
              <w:rPr>
                <w:rFonts w:hint="eastAsia"/>
              </w:rPr>
              <w:t xml:space="preserve"> </w:t>
            </w:r>
            <w:r>
              <w:rPr>
                <w:rFonts w:hint="eastAsia"/>
              </w:rPr>
              <w:t>模様替</w:t>
            </w:r>
            <w:r>
              <w:rPr>
                <w:rFonts w:hint="eastAsia"/>
                <w:spacing w:val="-14"/>
              </w:rPr>
              <w:t>　□</w:t>
            </w:r>
            <w:r>
              <w:rPr>
                <w:rFonts w:hint="eastAsia"/>
                <w:spacing w:val="-14"/>
              </w:rPr>
              <w:t xml:space="preserve"> </w:t>
            </w:r>
            <w:r>
              <w:rPr>
                <w:rFonts w:hint="eastAsia"/>
                <w:spacing w:val="-14"/>
              </w:rPr>
              <w:t>色彩の変更）</w:t>
            </w:r>
          </w:p>
        </w:tc>
      </w:tr>
    </w:tbl>
    <w:p>
      <w:pPr>
        <w:pStyle w:val="0"/>
        <w:rPr>
          <w:rFonts w:hint="default"/>
        </w:rPr>
      </w:pPr>
    </w:p>
    <w:p>
      <w:pPr>
        <w:pStyle w:val="0"/>
        <w:rPr>
          <w:rFonts w:hint="default"/>
        </w:rPr>
      </w:pPr>
      <w:r>
        <w:rPr>
          <w:rFonts w:hint="eastAsia"/>
          <w:spacing w:val="-14"/>
        </w:rPr>
        <w:t>【建築物・工作物】</w:t>
      </w:r>
    </w:p>
    <w:tbl>
      <w:tblPr>
        <w:tblStyle w:val="11"/>
        <w:tblW w:w="4951"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6"/>
        <w:gridCol w:w="345"/>
        <w:gridCol w:w="4474"/>
        <w:gridCol w:w="4884"/>
      </w:tblGrid>
      <w:tr>
        <w:trPr>
          <w:trHeight w:val="347" w:hRule="atLeast"/>
        </w:trPr>
        <w:tc>
          <w:tcPr>
            <w:tcW w:w="2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sz w:val="18"/>
              </w:rPr>
              <w:t>区分</w:t>
            </w:r>
          </w:p>
        </w:tc>
        <w:tc>
          <w:tcPr>
            <w:tcW w:w="236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55" w:hRule="atLeast"/>
        </w:trPr>
        <w:tc>
          <w:tcPr>
            <w:tcW w:w="248"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default"/>
                <w:b w:val="0"/>
                <w:sz w:val="20"/>
              </w:rPr>
            </w:pPr>
            <w:r>
              <w:rPr>
                <w:rFonts w:hint="eastAsia"/>
                <w:b w:val="0"/>
                <w:sz w:val="20"/>
              </w:rPr>
              <w:t>位置・配置</w:t>
            </w:r>
          </w:p>
        </w:tc>
        <w:tc>
          <w:tcPr>
            <w:tcW w:w="236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b w:val="0"/>
                <w:sz w:val="18"/>
              </w:rPr>
            </w:pPr>
            <w:r>
              <w:rPr>
                <w:rFonts w:hint="eastAsia"/>
                <w:b w:val="0"/>
                <w:sz w:val="18"/>
              </w:rPr>
              <w:t>【周辺景観との調和】</w:t>
            </w:r>
          </w:p>
        </w:tc>
        <w:tc>
          <w:tcPr>
            <w:tcW w:w="2392"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748"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sz w:val="20"/>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color w:val="000000" w:themeColor="text1"/>
                <w:sz w:val="18"/>
              </w:rPr>
              <w:t>街なみの特徴を踏まえ、にぎわいや圧迫感に配慮した配置とする。</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070"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dashed" w:color="auto" w:sz="4" w:space="0"/>
              <w:right w:val="nil"/>
              <w:tl2br w:val="none" w:color="auto" w:sz="0" w:space="0"/>
              <w:tr2bl w:val="none" w:color="auto" w:sz="0" w:space="0"/>
            </w:tcBorders>
            <w:vAlign w:val="top"/>
          </w:tcPr>
          <w:p>
            <w:pPr>
              <w:pStyle w:val="0"/>
              <w:rPr>
                <w:rFonts w:hint="eastAsia"/>
                <w:sz w:val="18"/>
              </w:rPr>
            </w:pPr>
            <w:r>
              <w:rPr>
                <w:rFonts w:hint="eastAsia"/>
                <w:sz w:val="21"/>
              </w:rPr>
              <w:t>□</w:t>
            </w:r>
          </w:p>
        </w:tc>
        <w:tc>
          <w:tcPr>
            <w:tcW w:w="2191" w:type="pct"/>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交通量の多い通りに面している建築物は、可能な限り、間口を通りに面して配置するなど、通りのにぎわいを分断しないように配慮する。</w:t>
            </w:r>
          </w:p>
        </w:tc>
        <w:tc>
          <w:tcPr>
            <w:tcW w:w="2392"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0" w:type="pct"/>
            <w:gridSpan w:val="2"/>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sz w:val="18"/>
              </w:rPr>
            </w:pPr>
            <w:r>
              <w:rPr>
                <w:rFonts w:hint="eastAsia"/>
                <w:b w:val="0"/>
                <w:sz w:val="18"/>
              </w:rPr>
              <w:t>【豪雪への対応】</w:t>
            </w:r>
          </w:p>
        </w:tc>
        <w:tc>
          <w:tcPr>
            <w:tcW w:w="2392" w:type="pct"/>
            <w:vMerge w:val="restar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074"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single" w:color="000000" w:sz="4" w:space="0"/>
              <w:right w:val="nil"/>
              <w:tl2br w:val="none" w:color="auto" w:sz="0" w:space="0"/>
              <w:tr2bl w:val="none" w:color="auto" w:sz="0" w:space="0"/>
            </w:tcBorders>
            <w:vAlign w:val="top"/>
          </w:tcPr>
          <w:p>
            <w:pPr>
              <w:pStyle w:val="0"/>
              <w:jc w:val="center"/>
              <w:rPr>
                <w:rFonts w:hint="eastAsia"/>
                <w:sz w:val="18"/>
              </w:rPr>
            </w:pPr>
            <w:r>
              <w:rPr>
                <w:rFonts w:hint="eastAsia"/>
                <w:sz w:val="21"/>
              </w:rPr>
              <w:t>□</w:t>
            </w:r>
          </w:p>
        </w:tc>
        <w:tc>
          <w:tcPr>
            <w:tcW w:w="2191" w:type="pct"/>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sz w:val="18"/>
              </w:rPr>
            </w:pPr>
            <w:r>
              <w:rPr>
                <w:rFonts w:hint="eastAsia"/>
                <w:b w:val="0"/>
                <w:sz w:val="18"/>
              </w:rPr>
              <w:t>落雪が隣地や接道に影響を与えないよう、倶知安町建築物等に関する指導要綱に基づく後退距離を確保する。</w:t>
            </w:r>
          </w:p>
        </w:tc>
        <w:tc>
          <w:tcPr>
            <w:tcW w:w="239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ind w:left="113" w:leftChars="0" w:right="113" w:rightChars="0"/>
              <w:jc w:val="center"/>
              <w:rPr>
                <w:rFonts w:hint="default"/>
                <w:sz w:val="20"/>
              </w:rPr>
            </w:pPr>
            <w:r>
              <w:rPr>
                <w:rFonts w:hint="eastAsia"/>
                <w:sz w:val="20"/>
              </w:rPr>
              <w:t>規模</w:t>
            </w:r>
          </w:p>
        </w:tc>
        <w:tc>
          <w:tcPr>
            <w:tcW w:w="236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8"/>
              </w:rPr>
            </w:pPr>
            <w:r>
              <w:rPr>
                <w:rFonts w:hint="eastAsia"/>
                <w:sz w:val="18"/>
              </w:rPr>
              <w:t>【景観資源への眺望確保】</w:t>
            </w:r>
          </w:p>
        </w:tc>
        <w:tc>
          <w:tcPr>
            <w:tcW w:w="2392"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1074"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color w:val="000000" w:themeColor="text1"/>
                <w:sz w:val="18"/>
              </w:rPr>
              <w:t>駅施設からの羊蹄山の眺望を確保するため、眺望方向の建物の高さは、羊蹄山の見かけ上の高さの概ね</w:t>
            </w:r>
            <w:r>
              <w:rPr>
                <w:rFonts w:hint="eastAsia" w:asciiTheme="minorEastAsia" w:hAnsiTheme="minorEastAsia" w:eastAsiaTheme="minorEastAsia"/>
                <w:color w:val="000000" w:themeColor="text1"/>
                <w:sz w:val="18"/>
              </w:rPr>
              <w:t>1/3</w:t>
            </w:r>
            <w:r>
              <w:rPr>
                <w:rFonts w:hint="eastAsia" w:asciiTheme="minorEastAsia" w:hAnsiTheme="minorEastAsia" w:eastAsiaTheme="minorEastAsia"/>
                <w:color w:val="000000" w:themeColor="text1"/>
                <w:sz w:val="18"/>
              </w:rPr>
              <w:t>に収めること。</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7"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360" w:type="pct"/>
            <w:gridSpan w:val="2"/>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【周辺景観との調和】</w:t>
            </w:r>
          </w:p>
        </w:tc>
        <w:tc>
          <w:tcPr>
            <w:tcW w:w="2392" w:type="pct"/>
            <w:vMerge w:val="restar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97"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sz w:val="20"/>
              </w:rPr>
            </w:pPr>
            <w:r>
              <w:rPr>
                <w:rFonts w:hint="eastAsia" w:asciiTheme="minorEastAsia" w:hAnsiTheme="minorEastAsia" w:eastAsiaTheme="minorEastAsia"/>
                <w:color w:val="000000" w:themeColor="text1"/>
                <w:sz w:val="18"/>
              </w:rPr>
              <w:t>街なみの雰囲気を大切にし、周辺建築物と調和した高さとする。</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394"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191"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color w:val="000000" w:themeColor="text1"/>
                <w:sz w:val="18"/>
              </w:rPr>
              <w:t>道道</w:t>
            </w:r>
            <w:r>
              <w:rPr>
                <w:rFonts w:hint="eastAsia" w:asciiTheme="minorEastAsia" w:hAnsiTheme="minorEastAsia" w:eastAsiaTheme="minorEastAsia"/>
                <w:color w:val="000000" w:themeColor="text1"/>
                <w:sz w:val="18"/>
              </w:rPr>
              <w:t>271</w:t>
            </w:r>
            <w:r>
              <w:rPr>
                <w:rFonts w:hint="eastAsia" w:asciiTheme="minorEastAsia" w:hAnsiTheme="minorEastAsia" w:eastAsiaTheme="minorEastAsia"/>
                <w:color w:val="000000" w:themeColor="text1"/>
                <w:sz w:val="18"/>
              </w:rPr>
              <w:t>号倶知安停車場線に面する建築物は、敷地境界から奥行３ｍまでの範囲は高さ</w:t>
            </w:r>
            <w:r>
              <w:rPr>
                <w:rFonts w:hint="eastAsia" w:asciiTheme="minorEastAsia" w:hAnsiTheme="minorEastAsia" w:eastAsiaTheme="minorEastAsia"/>
                <w:color w:val="000000" w:themeColor="text1"/>
                <w:sz w:val="18"/>
              </w:rPr>
              <w:t>10</w:t>
            </w:r>
            <w:r>
              <w:rPr>
                <w:rFonts w:hint="eastAsia" w:asciiTheme="minorEastAsia" w:hAnsiTheme="minorEastAsia" w:eastAsiaTheme="minorEastAsia"/>
                <w:color w:val="000000" w:themeColor="text1"/>
                <w:sz w:val="18"/>
              </w:rPr>
              <w:t>ｍ以下とする。奥行３ｍを超える範囲に中高層棟を設ける場合は、仰角</w:t>
            </w:r>
            <w:r>
              <w:rPr>
                <w:rFonts w:hint="eastAsia" w:asciiTheme="minorEastAsia" w:hAnsiTheme="minorEastAsia" w:eastAsiaTheme="minorEastAsia"/>
                <w:color w:val="000000" w:themeColor="text1"/>
                <w:sz w:val="18"/>
              </w:rPr>
              <w:t>40</w:t>
            </w:r>
            <w:r>
              <w:rPr>
                <w:rFonts w:hint="eastAsia" w:asciiTheme="minorEastAsia" w:hAnsiTheme="minorEastAsia" w:eastAsiaTheme="minorEastAsia"/>
                <w:color w:val="000000" w:themeColor="text1"/>
                <w:sz w:val="18"/>
              </w:rPr>
              <w:t>度以下の高さとする。</w:t>
            </w:r>
          </w:p>
        </w:tc>
        <w:tc>
          <w:tcPr>
            <w:tcW w:w="2392"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12" w:hRule="atLeast"/>
        </w:trPr>
        <w:tc>
          <w:tcPr>
            <w:tcW w:w="248"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jc w:val="center"/>
              <w:rPr>
                <w:rFonts w:hint="eastAsia"/>
              </w:rPr>
            </w:pPr>
            <w:r>
              <w:rPr>
                <w:rFonts w:hint="eastAsia"/>
                <w:sz w:val="20"/>
              </w:rPr>
              <w:t>形態・意匠</w:t>
            </w:r>
          </w:p>
        </w:tc>
        <w:tc>
          <w:tcPr>
            <w:tcW w:w="2360" w:type="pct"/>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【羊蹄山の眺望への配慮】</w:t>
            </w:r>
          </w:p>
        </w:tc>
        <w:tc>
          <w:tcPr>
            <w:tcW w:w="239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237"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single" w:color="000000"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191" w:type="pc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31" w:beforeLines="10" w:beforeAutospacing="0" w:after="31" w:afterLines="10" w:afterAutospacing="0" w:line="230" w:lineRule="exact"/>
              <w:jc w:val="both"/>
              <w:rPr>
                <w:rFonts w:hint="eastAsia" w:asciiTheme="minorEastAsia" w:hAnsiTheme="minorEastAsia" w:eastAsiaTheme="minorEastAsia"/>
                <w:b w:val="1"/>
                <w:color w:val="000000" w:themeColor="text1"/>
                <w:sz w:val="20"/>
              </w:rPr>
            </w:pPr>
            <w:r>
              <w:rPr>
                <w:rFonts w:hint="eastAsia" w:asciiTheme="minorEastAsia" w:hAnsiTheme="minorEastAsia" w:eastAsiaTheme="minorEastAsia"/>
                <w:color w:val="000000" w:themeColor="text1"/>
                <w:sz w:val="18"/>
              </w:rPr>
              <w:t>駅施設からの羊蹄山への眺望に馴染むデザイン・色彩とする。</w:t>
            </w:r>
          </w:p>
          <w:p>
            <w:pPr>
              <w:pStyle w:val="0"/>
              <w:rPr>
                <w:rFonts w:hint="eastAsia" w:asciiTheme="minorEastAsia" w:hAnsiTheme="minorEastAsia" w:eastAsiaTheme="minorEastAsia"/>
              </w:rPr>
            </w:pPr>
          </w:p>
        </w:tc>
        <w:tc>
          <w:tcPr>
            <w:tcW w:w="2392"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snapToGrid w:val="0"/>
        <w:spacing w:line="280" w:lineRule="exact"/>
        <w:jc w:val="center"/>
        <w:rPr>
          <w:rFonts w:hint="default"/>
          <w:spacing w:val="-14"/>
        </w:rPr>
      </w:pPr>
      <w:r>
        <w:rPr>
          <w:rFonts w:hint="eastAsia"/>
        </w:rPr>
        <w:br w:type="page"/>
      </w:r>
      <w:r>
        <w:rPr>
          <w:rFonts w:hint="eastAsia"/>
          <w:spacing w:val="-14"/>
        </w:rPr>
        <w:t>（裏面）</w:t>
      </w:r>
    </w:p>
    <w:p>
      <w:pPr>
        <w:pStyle w:val="0"/>
        <w:rPr>
          <w:rFonts w:hint="default"/>
          <w:sz w:val="20"/>
        </w:rPr>
      </w:pPr>
    </w:p>
    <w:tbl>
      <w:tblPr>
        <w:tblStyle w:val="11"/>
        <w:tblW w:w="4951"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6"/>
        <w:gridCol w:w="345"/>
        <w:gridCol w:w="4505"/>
        <w:gridCol w:w="4853"/>
      </w:tblGrid>
      <w:tr>
        <w:trPr>
          <w:trHeight w:val="347" w:hRule="atLeast"/>
        </w:trPr>
        <w:tc>
          <w:tcPr>
            <w:tcW w:w="2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sz w:val="18"/>
              </w:rPr>
              <w:t>区分</w:t>
            </w:r>
          </w:p>
        </w:tc>
        <w:tc>
          <w:tcPr>
            <w:tcW w:w="237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60" w:hRule="atLeast"/>
        </w:trPr>
        <w:tc>
          <w:tcPr>
            <w:tcW w:w="248"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rPr>
            </w:pPr>
            <w:r>
              <w:rPr>
                <w:rFonts w:hint="eastAsia"/>
                <w:sz w:val="20"/>
              </w:rPr>
              <w:t>形態・意匠（色彩）</w:t>
            </w:r>
          </w:p>
        </w:tc>
        <w:tc>
          <w:tcPr>
            <w:tcW w:w="2375" w:type="pct"/>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b w:val="0"/>
                <w:color w:val="000000" w:themeColor="text1"/>
                <w:sz w:val="18"/>
              </w:rPr>
              <w:t>【周辺景観との調和】</w:t>
            </w:r>
          </w:p>
        </w:tc>
        <w:tc>
          <w:tcPr>
            <w:tcW w:w="2377" w:type="pct"/>
            <w:vMerge w:val="restar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60"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06"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低層階（３階以下）の建築物は、周囲の街なみに合わせた質感のある圧迫感のないデザイン・色彩とする。</w:t>
            </w:r>
          </w:p>
        </w:tc>
        <w:tc>
          <w:tcPr>
            <w:tcW w:w="2377" w:type="pct"/>
            <w:vMerge w:val="continue"/>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95" w:hRule="atLeast"/>
        </w:trPr>
        <w:tc>
          <w:tcPr>
            <w:tcW w:w="248" w:type="pct"/>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高層階（４階以上）の建築物は、上空や遠くの街なみに馴染むデザイン・色彩とする。</w:t>
            </w:r>
          </w:p>
        </w:tc>
        <w:tc>
          <w:tcPr>
            <w:tcW w:w="2377"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06" w:type="pct"/>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spacing w:val="-14"/>
                <w:sz w:val="18"/>
              </w:rPr>
              <w:t>外観は使用色数を抑え、近隣建築物等の色彩と調和する色彩を用いる。原色や高彩度色（＝けばけばしい色）はアクセント</w:t>
            </w:r>
            <w:r>
              <w:rPr>
                <w:rFonts w:hint="eastAsia"/>
                <w:spacing w:val="-14"/>
                <w:sz w:val="18"/>
              </w:rPr>
              <w:t>(</w:t>
            </w:r>
            <w:r>
              <w:rPr>
                <w:rFonts w:hint="eastAsia"/>
                <w:spacing w:val="-14"/>
                <w:sz w:val="18"/>
              </w:rPr>
              <w:t>見付面積の</w:t>
            </w:r>
            <w:r>
              <w:rPr>
                <w:rFonts w:hint="eastAsia"/>
                <w:spacing w:val="-14"/>
                <w:sz w:val="18"/>
              </w:rPr>
              <w:t>1/5</w:t>
            </w:r>
            <w:r>
              <w:rPr>
                <w:rFonts w:hint="eastAsia"/>
                <w:spacing w:val="-14"/>
                <w:sz w:val="18"/>
              </w:rPr>
              <w:t>程度）に留める。</w:t>
            </w:r>
          </w:p>
        </w:tc>
        <w:tc>
          <w:tcPr>
            <w:tcW w:w="2377"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95" w:hRule="atLeast"/>
        </w:trPr>
        <w:tc>
          <w:tcPr>
            <w:tcW w:w="248" w:type="pct"/>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06" w:type="pct"/>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店舗、飲食店、事務所の用途で使用するプレハブ型等の簡易な建築物は周辺のにぎわいを支える意匠とする。</w:t>
            </w:r>
          </w:p>
        </w:tc>
        <w:tc>
          <w:tcPr>
            <w:tcW w:w="2377"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439" w:hRule="atLeast"/>
        </w:trPr>
        <w:tc>
          <w:tcPr>
            <w:tcW w:w="248" w:type="pct"/>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nil"/>
              <w:right w:val="nil"/>
              <w:tl2br w:val="none" w:color="auto" w:sz="0" w:space="0"/>
              <w:tr2bl w:val="none" w:color="auto" w:sz="0" w:space="0"/>
            </w:tcBorders>
            <w:vAlign w:val="top"/>
          </w:tcPr>
          <w:p>
            <w:pPr>
              <w:pStyle w:val="0"/>
              <w:rPr>
                <w:rFonts w:hint="eastAsia"/>
              </w:rPr>
            </w:pPr>
            <w:r>
              <w:rPr>
                <w:rFonts w:hint="eastAsia"/>
                <w:sz w:val="21"/>
              </w:rPr>
              <w:t>□</w:t>
            </w:r>
          </w:p>
        </w:tc>
        <w:tc>
          <w:tcPr>
            <w:tcW w:w="2206" w:type="pct"/>
            <w:tcBorders>
              <w:top w:val="dashed" w:color="auto" w:sz="4" w:space="0"/>
              <w:left w:val="nil"/>
              <w:bottom w:val="nil"/>
              <w:right w:val="single" w:color="000000" w:sz="4" w:space="0"/>
              <w:tl2br w:val="none" w:color="auto" w:sz="0" w:space="0"/>
              <w:tr2bl w:val="none" w:color="auto" w:sz="0" w:space="0"/>
            </w:tcBorders>
            <w:vAlign w:val="top"/>
          </w:tcPr>
          <w:p>
            <w:pPr>
              <w:pStyle w:val="0"/>
              <w:rPr>
                <w:rFonts w:hint="eastAsia"/>
                <w:sz w:val="18"/>
              </w:rPr>
            </w:pPr>
            <w:r>
              <w:rPr>
                <w:rFonts w:hint="eastAsia"/>
                <w:sz w:val="18"/>
              </w:rPr>
              <w:t>鉄塔などの工作物は見付面積を抑え、周囲への存在感を抑える。地上部に設置する附属設備については、囲いを設ける等の周囲の街なみに調和する。色彩は、周囲の建物や風景を踏まえた色合いとする。</w:t>
            </w:r>
          </w:p>
        </w:tc>
        <w:tc>
          <w:tcPr>
            <w:tcW w:w="2377" w:type="pct"/>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建築物・工作物の附属物</w:t>
            </w:r>
          </w:p>
        </w:tc>
        <w:tc>
          <w:tcPr>
            <w:tcW w:w="169" w:type="pct"/>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18"/>
              </w:rPr>
              <w:t>建築物の屋上に設置する附属設備は羊蹄山への眺望、街なみに配慮した配置・規模とする。なお、駅施設からの羊蹄山への眺望方向には、原則設置しない。</w:t>
            </w:r>
          </w:p>
        </w:tc>
        <w:tc>
          <w:tcPr>
            <w:tcW w:w="2377"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95"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18"/>
              </w:rPr>
              <w:t>オイルタンクや室外機、キュービクルなど附属設備を通りに面した地上及び壁面に設置する場合は、通りに対し目立たないようにする。</w:t>
            </w:r>
          </w:p>
        </w:tc>
        <w:tc>
          <w:tcPr>
            <w:tcW w:w="2377"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95"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sz w:val="20"/>
              </w:rPr>
            </w:pPr>
          </w:p>
        </w:tc>
        <w:tc>
          <w:tcPr>
            <w:tcW w:w="169" w:type="pct"/>
            <w:tcBorders>
              <w:top w:val="dashed"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color w:val="000000" w:themeColor="text1"/>
                <w:sz w:val="18"/>
              </w:rPr>
              <w:t>塀・柵は高さを抑え、自然素材や生垣を利用するなど、可能な限り周囲への圧迫感を軽減する。</w:t>
            </w:r>
          </w:p>
        </w:tc>
        <w:tc>
          <w:tcPr>
            <w:tcW w:w="2377"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95"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18"/>
              </w:rPr>
              <w:t>門は高さ、幅を最小限に抑え、建築物と調和した意匠とする。</w:t>
            </w:r>
          </w:p>
        </w:tc>
        <w:tc>
          <w:tcPr>
            <w:tcW w:w="2377"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439" w:hRule="atLeast"/>
        </w:trPr>
        <w:tc>
          <w:tcPr>
            <w:tcW w:w="248"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堆雪スペース</w:t>
            </w:r>
          </w:p>
        </w:tc>
        <w:tc>
          <w:tcPr>
            <w:tcW w:w="169" w:type="pct"/>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18"/>
              </w:rPr>
              <w:t>建築物等は落雪が道路や隣地に影響を与えないよう、敷地に十分な堆雪スペースを確保する。</w:t>
            </w:r>
          </w:p>
        </w:tc>
        <w:tc>
          <w:tcPr>
            <w:tcW w:w="237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795" w:hRule="atLeast"/>
        </w:trPr>
        <w:tc>
          <w:tcPr>
            <w:tcW w:w="248"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緑化修景</w:t>
            </w:r>
          </w:p>
        </w:tc>
        <w:tc>
          <w:tcPr>
            <w:tcW w:w="169" w:type="pct"/>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18"/>
              </w:rPr>
              <w:t>周囲の敷地の状況を踏まえ、前面道路に対し、植栽・花壇による落ち着きと潤いの創出を図る。</w:t>
            </w:r>
          </w:p>
        </w:tc>
        <w:tc>
          <w:tcPr>
            <w:tcW w:w="2377"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087"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18"/>
              </w:rPr>
              <w:t>樹容や樹齢に優れる樹木がある場合は、伐採を避ける又は移植するなど、可能な限り保存に努める。</w:t>
            </w:r>
            <w:r>
              <w:rPr>
                <w:rFonts w:hint="eastAsia" w:asciiTheme="minorEastAsia" w:hAnsiTheme="minorEastAsia" w:eastAsiaTheme="minorEastAsia"/>
                <w:color w:val="000000" w:themeColor="text1"/>
                <w:sz w:val="18"/>
              </w:rPr>
              <w:t>（風倒木や支障木の処分、枝払い等必要な管理を除く）</w:t>
            </w:r>
          </w:p>
        </w:tc>
        <w:tc>
          <w:tcPr>
            <w:tcW w:w="2377"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rPr>
          <w:rFonts w:hint="default"/>
          <w:sz w:val="20"/>
        </w:rPr>
      </w:pPr>
    </w:p>
    <w:p>
      <w:pPr>
        <w:pStyle w:val="0"/>
        <w:snapToGrid w:val="0"/>
        <w:spacing w:line="280" w:lineRule="exact"/>
        <w:ind w:firstLine="203" w:firstLineChars="100"/>
        <w:rPr>
          <w:rFonts w:hint="default"/>
          <w:sz w:val="20"/>
        </w:rPr>
      </w:pPr>
      <w:r>
        <w:rPr>
          <w:rFonts w:hint="eastAsia"/>
          <w:sz w:val="20"/>
        </w:rPr>
        <w:t>注１　景観形成基準は、当該行為について該当する項目の□内にレ印を付すこと。</w:t>
      </w:r>
    </w:p>
    <w:p>
      <w:pPr>
        <w:pStyle w:val="0"/>
        <w:snapToGrid w:val="0"/>
        <w:spacing w:line="280" w:lineRule="exact"/>
        <w:rPr>
          <w:rFonts w:hint="default"/>
        </w:rPr>
      </w:pPr>
      <w:r>
        <w:rPr>
          <w:rFonts w:hint="eastAsia"/>
          <w:sz w:val="20"/>
        </w:rPr>
        <w:t>　　２　対応状況の説明は、景観形成基準</w:t>
      </w:r>
      <w:bookmarkStart w:id="0" w:name="_GoBack"/>
      <w:bookmarkEnd w:id="0"/>
      <w:r>
        <w:rPr>
          <w:rFonts w:hint="eastAsia"/>
          <w:sz w:val="20"/>
        </w:rPr>
        <w:t>に具体的にどのように対応したかを記載すること。</w:t>
      </w:r>
    </w:p>
    <w:sectPr>
      <w:headerReference r:id="rId6" w:type="even"/>
      <w:footerReference r:id="rId8" w:type="even"/>
      <w:headerReference r:id="rId5" w:type="first"/>
      <w:footerReference r:id="rId7" w:type="first"/>
      <w:pgSz w:w="11906" w:h="16838"/>
      <w:pgMar w:top="1134" w:right="850" w:bottom="1134" w:left="850" w:header="851" w:footer="992" w:gutter="0"/>
      <w:cols w:space="720"/>
      <w:textDirection w:val="lrTb"/>
      <w:docGrid w:type="linesAndChars" w:linePitch="32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39"/>
  <w:drawingGridHorizontalSpacing w:val="213"/>
  <w:drawingGridVerticalSpacing w:val="16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ody Text 2"/>
    <w:basedOn w:val="0"/>
    <w:next w:val="19"/>
    <w:link w:val="20"/>
    <w:uiPriority w:val="0"/>
    <w:pPr>
      <w:spacing w:line="480" w:lineRule="auto"/>
    </w:pPr>
    <w:rPr>
      <w:sz w:val="24"/>
    </w:rPr>
  </w:style>
  <w:style w:type="character" w:styleId="20" w:customStyle="1">
    <w:name w:val="本文 2 (文字)"/>
    <w:next w:val="20"/>
    <w:link w:val="19"/>
    <w:uiPriority w:val="0"/>
    <w:rPr>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Hyperlink"/>
    <w:next w:val="23"/>
    <w:link w:val="0"/>
    <w:uiPriority w:val="0"/>
    <w:rPr>
      <w:rFonts w:ascii="Times New Roman" w:hAnsi="Times New Roman"/>
      <w:color w:val="0000FF"/>
      <w:u w:val="single" w:color="auto"/>
    </w:rPr>
  </w:style>
  <w:style w:type="paragraph" w:styleId="24">
    <w:name w:val="Note Heading"/>
    <w:basedOn w:val="0"/>
    <w:next w:val="0"/>
    <w:link w:val="25"/>
    <w:uiPriority w:val="0"/>
    <w:pPr>
      <w:jc w:val="center"/>
    </w:pPr>
    <w:rPr>
      <w:rFonts w:eastAsia="HGS教科書体"/>
    </w:rPr>
  </w:style>
  <w:style w:type="character" w:styleId="25" w:customStyle="1">
    <w:name w:val="記 (文字)"/>
    <w:next w:val="25"/>
    <w:link w:val="24"/>
    <w:uiPriority w:val="0"/>
    <w:rPr>
      <w:rFonts w:eastAsia="HGS教科書体"/>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691</TotalTime>
  <Pages>2</Pages>
  <Words>7</Words>
  <Characters>1346</Characters>
  <Application>JUST Note</Application>
  <Lines>404</Lines>
  <Paragraphs>73</Paragraphs>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2022-12-01T10:56:15Z</cp:lastPrinted>
  <dcterms:created xsi:type="dcterms:W3CDTF">2020-04-30T02:08:00Z</dcterms:created>
  <dcterms:modified xsi:type="dcterms:W3CDTF">2022-12-20T00:02:54Z</dcterms:modified>
  <cp:revision>42</cp:revision>
</cp:coreProperties>
</file>